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BbgBO (Brandenburg) — Wohnungen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08.09.2026. Dies ist nicht die aktuelle Fassung.</w:t>
      </w:r>
    </w:p>
    <w:p>
      <w:r>
        <w:t xml:space="preserve">(1) Jede Wohnung muss von anderen Wohnungen und fremden Räumen baulich abgeschlossen sein und einen eigenen, abschließbaren Zugang unmittelbar vom Freien, von einem Treppenraum, einem Flur oder einem anderen Vorraum haben. Wohnungen in Wohngebäuden mit nicht mehr als zwei Wohnungen brauchen nicht abgeschlossen zu sein. Wohnungen in Gebäuden, die nicht nur zum Wohnen dienen, müssen einen besonderen Zugang haben; gemeinsame Zugänge können gestattet werden, wenn Gefahren oder unzumutbare Belästigungen für die Benutzer der Wohnungen nicht entstehen.</w:t>
      </w:r>
    </w:p>
    <w:p>
      <w:r>
        <w:t xml:space="preserve">(2) Jede Wohnung muss eine für ihre Bestimmung ausreichende Größe und eine entsprechende Zahl besonnter Aufenthaltsräume haben. Es dürfen nicht alle Aufenthaltsräume nach Norden liegen.</w:t>
      </w:r>
    </w:p>
    <w:p>
      <w:r>
        <w:t xml:space="preserve">(3) Einzelne Aufenthaltsräume sind in Kellergeschossen zulässig, wenn</w:t>
      </w:r>
    </w:p>
    <w:p>
      <w:r>
        <w:t xml:space="preserve">der Fußboden der Aufenthaltsräume nicht mehr als 1,50 m unter der Geländeoberfläche liegt und</w:t>
      </w:r>
    </w:p>
    <w:p>
      <w:r>
        <w:t xml:space="preserve">die Geländeoberfläche, die sich an die Außenwände mit notwendigen Fenstern anschließt, in einer Entfernung von 2 m und in Breite der Aufenthaltsräume vor den notwendigen Fenstern nicht mehr als 0,50 m über dem Fußboden der Aufenthaltsräume liegt.</w:t>
      </w:r>
    </w:p>
    <w:p>
      <w:r>
        <w:t xml:space="preserve">(4) Innerhalb jeder Wohnung müssen ein Bad und eine Toilette mit Wasserspülung sowie die technischen Voraussetzungen für den Einbau einer Küche vorhanden sein. Fensterlose Räume sind zulässig, wenn sie eine Lüftungsanlage haben.</w:t>
      </w:r>
    </w:p>
    <w:p>
      <w:r>
        <w:t xml:space="preserve">(5) Wohngebäude müssen über einen leicht erreichbaren und gut zugänglichen Abstellraum für Kinderwagen, Rollstühle und Fahrräder sowie über leicht erreichbare und witterungsgeschützte Abstellplätze für Fahrräder verfügen. Dies gilt nicht für Wohngebäude geringer Höhe.</w:t>
      </w:r>
    </w:p>
    <w:p>
      <w:r>
        <w:rPr>
          <w:color w:val="555555"/>
          <w:sz w:val="17"/>
        </w:rPr>
        <w:t xml:space="preserve">Zitiervorschlag: § 41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