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BbgBO (Brandenburg) — Wertstoff- und Abfallbehälter, Abfallschächte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07.09.2026. Dies ist nicht die aktuelle Fassung.</w:t>
      </w:r>
    </w:p>
    <w:p>
      <w:r>
        <w:t xml:space="preserve">Für bewegliche Wertstoff- und Abfallbehälter ist eine befestigte Fläche auf dem Grundstück vorzusehen. Innerhalb von Gebäuden dürfen Wertstoff- und Abfallbehälter nur in gut belüfteten Räumen aufgestellt werden, deren raumabschließende Bauteile feuerbeständig sind. Abfallschächte sind unzulässig.</w:t>
      </w:r>
    </w:p>
    <w:p>
      <w:r>
        <w:rPr>
          <w:color w:val="555555"/>
          <w:sz w:val="17"/>
        </w:rPr>
        <w:t xml:space="preserve">Zitiervorschlag: § 39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