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BbgBO (Brandenburg) — Allgemeine Anforderungen</w:t>
      </w:r>
    </w:p>
    <w:p>
      <w:r>
        <w:rPr>
          <w:color w:val="555555"/>
          <w:sz w:val="18"/>
        </w:rPr>
        <w:t xml:space="preserve">Brandenburgische Bauordnung</w:t>
      </w:r>
    </w:p>
    <w:p>
      <w:r>
        <w:rPr>
          <w:color w:val="555555"/>
          <w:sz w:val="18"/>
        </w:rPr>
        <w:t xml:space="preserve">Landesrecht Brandenburg</w:t>
      </w:r>
    </w:p>
    <w:p>
      <w:r>
        <w:rPr>
          <w:color w:val="555555"/>
          <w:sz w:val="18"/>
        </w:rPr>
        <w:t xml:space="preserve">Historische Fassung: Stand 08.09.2026 bis 08.09.2026. Dies ist nicht die aktuelle Fassung.</w:t>
      </w:r>
    </w:p>
    <w:p>
      <w:r>
        <w:t xml:space="preserve">(1) Bauliche Anlagen, andere Anlagen und Einrichtungen im Sinne von § 1 Abs. 1 Satz 2 sowie ihre Teile sind so anzuordnen, zu errichten, zu ändern und instand zu halten, dass</w:t>
      </w:r>
    </w:p>
    <w:p>
      <w:r>
        <w:t xml:space="preserve">die öffentliche Sicherheit oder Ordnung, insbesondere Leben, Gesundheit und Eigentum, nicht gefährdet werden,</w:t>
      </w:r>
    </w:p>
    <w:p>
      <w:r>
        <w:t xml:space="preserve">sie die allgemeinen Anforderungen ihrem Zweck entsprechend dauerhaft erfüllen und ohne Missstände benutzbar sind und</w:t>
      </w:r>
    </w:p>
    <w:p>
      <w:r>
        <w:t xml:space="preserve">die natürlichen Lebensgrundlagen geschont werden.</w:t>
      </w:r>
    </w:p>
    <w:p>
      <w:r>
        <w:t xml:space="preserve">(2) Bauprodukte und Bauarten dürfen nur verwendet werden, wenn die baulichen Anlagen unter Verwendung der Bauprodukte und bei ordnungsgemäßer Instandhaltung während einer ihrem Zweck entsprechenden, angemessenen Zeitdauer die Anforderungen dieses Gesetzes oder der Vorschriften aufgrund dieses Gesetzes erfüllen und gebrauchstauglich sind.</w:t>
      </w:r>
    </w:p>
    <w:p>
      <w:r>
        <w:t xml:space="preserve">(3) Die oberste Bauaufsichtsbehörde kann Regeln der Technik durch Bekanntmachung im Amtsblatt für Brandenburg als Technische Baubestimmungen einführen. Bei der Bekanntmachung kann hinsichtlich des Inhalts der Technischen Baubestimmungen auf die Fundstelle verwiesen werden.</w:t>
      </w:r>
    </w:p>
    <w:p>
      <w:r>
        <w:t xml:space="preserve">(4) Die von der obersten Bauaufsichtsbehörde eingeführten Te chnischen Baubestimmungen sind zu beachten. Von den Technischen Baubestimmungen kann abgewichen werden, wenn eine andere Lösung in gleicher Weise die allgemeinen Anforderungen des Absatzes 1 erfüllt; § 14 Abs. 3, § 18 und § 60 Abs. 1 bleiben unberührt.</w:t>
      </w:r>
    </w:p>
    <w:p>
      <w:r>
        <w:t xml:space="preserve">(5) Für die Beseitigung baulicher Anlagen sowie anderer Anlagen und Einrichtungen im Sinne des § 1 Abs. 1 Satz 2 oder ihrer Teile, für ihre Nutzungsänderung und für die Baustelle gelten die Absätze 1, 3 und 4 entsprechend.</w:t>
      </w:r>
    </w:p>
    <w:p>
      <w:r>
        <w:t xml:space="preserve">(6) Bauprodukte, Bauarten und Prüfverfahren, die den in Vorschriften anderer Vertragsstaaten des Abkommens über den Europäischen Wirtschaftsraum genannten technischen Anforderungen entsprechen, dürfen verwendet oder angewendet werden, wenn das geforderte Schutzniveau in Bezug auf Sicherheit, Gesundheit und Gebrauchstauglichkeit gleichermaßen dauerhaft erreicht und die Verwendbarkeit nachgewiesen wird.</w:t>
      </w:r>
    </w:p>
    <w:p>
      <w:r>
        <w:rPr>
          <w:color w:val="555555"/>
          <w:sz w:val="17"/>
        </w:rPr>
        <w:t xml:space="preserve">Zitiervorschlag: § 3 BbgBO (Brandenburg)</w:t>
      </w:r>
    </w:p>
    <w:p>
      <w:r>
        <w:rPr>
          <w:color w:val="555555"/>
          <w:sz w:val="17"/>
        </w:rPr>
        <w:t xml:space="preserve">Quelle: bravors, abgerufen 08.09.2026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https://recht.nulegal.eu/gesetze/bb-bbgbo--2008/3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