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BbgBO (Brandenburg) — Allgemeine Anforderungen an das Brandverhalten von Bauteilen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Historische Fassung: Stand 23.08.2026 bis 09.09.2026. Dies ist nicht die aktuelle Fassung.</w:t>
      </w:r>
    </w:p>
    <w:p>
      <w:r>
        <w:t xml:space="preserve">(1) Einer Brandbeanspruchung von einer oder mehreren Seiten müssen</w:t>
      </w:r>
    </w:p>
    <w:p>
      <w:r>
        <w:t xml:space="preserve">feuerhemmende Bauteile 30 Minuten,</w:t>
      </w:r>
    </w:p>
    <w:p>
      <w:r>
        <w:t xml:space="preserve">hochfeuerhemmende Bauteile 60 Minuten,</w:t>
      </w:r>
    </w:p>
    <w:p>
      <w:r>
        <w:t xml:space="preserve">feuerbeständige Bauteile 90 Minuten</w:t>
      </w:r>
    </w:p>
    <w:p>
      <w:r>
        <w:t xml:space="preserve">lang standhalten.</w:t>
      </w:r>
    </w:p>
    <w:p>
      <w:r>
        <w:t xml:space="preserve">(2) Hochfeuerhemmende Bauteile, deren tragende oder aussteifende Teile aus brennbaren Baustoffen bestehen, müssen allseitig eine brandschutztechnisch wirksame Bekleidung aus nichtbrennbaren Baustoffen und Dämmstoffe aus nichtbrennbaren Baustoffen haben.</w:t>
      </w:r>
    </w:p>
    <w:p>
      <w:r>
        <w:t xml:space="preserve">(3) Tragende oder aussteifende Bauteile, die feuerbeständig sein müssen, müssen aus nichtbrennbaren Baustoffen bestehen.</w:t>
      </w:r>
    </w:p>
    <w:p>
      <w:r>
        <w:t xml:space="preserve">(4) Raumabschließende Bauteile, die feuerbeständig sein müssen, müssen eine in der raumabschließenden Ebene des Bauteils durchgehende Schicht aus nichtbrennbaren Baustoffen haben.</w:t>
      </w:r>
    </w:p>
    <w:p>
      <w:r>
        <w:rPr>
          <w:color w:val="555555"/>
          <w:sz w:val="17"/>
        </w:rPr>
        <w:t xml:space="preserve">Zitiervorschlag: § 23 BbgBO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https://recht.nulegal.eu/gesetze/bb-bbgbo--2008/23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