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BbgBO (Brandenburg) — Bauprodukte</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30.07.2026 bis 30.07.2026. Dies ist nicht die aktuelle Fassung.</w:t>
      </w:r>
    </w:p>
    <w:p>
      <w:r>
        <w:t xml:space="preserve">(1) Bauprodukte dürfen für die Errichtung, Änderung, Instandsetzung und Instandhaltung baulicher Anlagen nur verwendet werden, wenn sie für den Verwendungszweck</w:t>
      </w:r>
    </w:p>
    <w:p>
      <w:r>
        <w:t xml:space="preserve">von den nach Absatz 2 bekannt gemachten technischen Regeln nicht oder nicht wesentlich abweichen (geregelte Bauprodukte) oder nach Absatz 3 zulässig sind und wenn sie aufgrund des Übereinstimmungsnachweises nach § 19 das Übereinstimmungszeichen (Ü-Zeichen) tragen oder</w:t>
      </w:r>
    </w:p>
    <w:p>
      <w:r>
        <w:t xml:space="preserve">nach den Vorschriften</w:t>
      </w:r>
    </w:p>
    <w:p>
      <w:r>
        <w:t xml:space="preserve">des Bauproduktengesetzes,</w:t>
      </w:r>
    </w:p>
    <w:p>
      <w:r>
        <w:t xml:space="preserve">zur Umsetzung der Richtlinie 89/106/EWG des Rates zur Angleichung der Rechts- und Verwaltungsvorschriften der Mitgliedstaaten über Bauprodukte (Bauproduktenr ichtlinie) vom 21. Dezember 1988 (ABl. EG Nr. L 40 S. 12) durch andere Mitgliedstaaten der Europäischen Union und andere Vertragsstaaten des Abkommens über den Europäischen Wirtschaftsraum oder</w:t>
      </w:r>
    </w:p>
    <w:p>
      <w:r>
        <w:t xml:space="preserve">zur Umsetzung sonstiger Richtlinien der Europäischen Gemeinschaften, soweit diese die wesentlichen Anforderungen nach § 5 Abs. 1 des Bauproduktengesetzes berücksichtigen in den Verkehr gebracht und gehandelt werden dürfen, insbesondere das Zeichen der Europäischen Union (CE-Zeichen) tragen und dieses Zeichen die nach Absatz 7 Nr. 1 festgelegten Klassen- und Leistungsstufen ausweist. Sonstige Bauprodukte, die von allgemein anerkannten Regeln der Technik nicht abweichen, dürfen auch verwendet werden, wenn diese Regeln nicht nach Absatz 2 bekannt gemacht sind. Sonstige Bauprodukte, die von allgemein anerkannten Regeln der Technik abweichen, bedürfen keines Nachweises ihrer Verwendbarkeit nach Absatz 3; § 60 Abs. 1 bleibt unberührt.</w:t>
      </w:r>
    </w:p>
    <w:p>
      <w:r>
        <w:t xml:space="preserve">(2) Das Deutsche Institut für Bautechnik macht im Einvernehmen mit der obersten Bauaufsichtsbehörde für Bauprodukte, für die nicht nur die Vorschriften nach Absatz 1 Satz 1 Nr. 2 maßgebend sind, in der Bauregelliste A die technischen Regeln bekannt, die zur Erfüllung der in diesem Gesetz und in Vorschriften aufgrund dieses Gesetzes an bauliche Anlagen gestellten Anforderungen erforderlich sind.</w:t>
      </w:r>
    </w:p>
    <w:p>
      <w:r>
        <w:t xml:space="preserve">(3) Bauprodukte, für die technische Regeln in der Bauregelliste A nach Absatz 2 bekannt gemacht worden sind und die von diesen wesentlich abweichen oder für die es Technische Baubestimmungen nach § 3 Abs. 3 oder allgemein anerkannte Regeln der Technik nicht gibt (nicht geregelte Bauprodukte), bedürfen</w:t>
      </w:r>
    </w:p>
    <w:p>
      <w:r>
        <w:t xml:space="preserve">einer allgemeinen bauaufsichtlichen Zulassung (§ 15),</w:t>
      </w:r>
    </w:p>
    <w:p>
      <w:r>
        <w:t xml:space="preserve">eines allgemeinen bauaufsichtlichen Prüfzeugnisses (§ 16) oder</w:t>
      </w:r>
    </w:p>
    <w:p>
      <w:r>
        <w:t xml:space="preserve">einer Zustimmung im Einzelfall (§ 17).</w:t>
      </w:r>
    </w:p>
    <w:p>
      <w:r>
        <w:t xml:space="preserve">Ausgenommen sind Bauprodukte, die für die Erfüllung der Anforderungen dieses Gesetzes oder aufgrund dieses Gesetzes nur eine untergeordnete Bedeutung haben und die das Deutsche Institut für Bautechnik im Einvernehmen mit der obersten Bauaufsichtsbehörde in einer Liste C öffentlich bekannt gemacht hat.</w:t>
      </w:r>
    </w:p>
    <w:p>
      <w:r>
        <w:t xml:space="preserve">(4) Das für die Bauaufsicht zuständige Mitglied der Landesregierung kann durch Rechtsverordnung vorschreiben, dass für bestimmte Bauprodukte, auch soweit sie Anforderungen nach anderen Rechtsvorschriften unterliegen, hinsichtlich dieser Anforderungen bestimmte Nachweise der Verwendbarkeit oder bestimmte Übereinstimmungsnachweise nach Maßgabe der §§ 14 bis 17 und der §§ 18 bis 22 zu führen sind, wenn die anderen Rechtsvorschriften diese Nachweise verlangen oder zulassen.</w:t>
      </w:r>
    </w:p>
    <w:p>
      <w:r>
        <w:t xml:space="preserve">(5) Bei Bauprodukten nach Absatz 1 Nr. 1, deren Herstellung in außergewöhnlichem Maß von der Sachkunde und Erfahrung der damit betrauten Personen oder von einer Ausstattung mit besonderen Vorrichtungen abhängt, kann in der allgemeinen bauaufsichtlichen Zulassung, in der Zustimmung im Einzelfall oder durch Rechtsverordnung des für die Bauaufsicht zuständigen Mitglieds der Landesregierung vorgeschrieben werden, dass der Hersteller über solche Fachkräfte und Vorrichtungen verfügt und dies einer Prüfstelle nach § 22 nachzuweisen hat. In der Rechtsverordnung können Mindestanforderungen an die Ausbildung, die durch Prüfung nachzuweisende Befähigung und die Ausbildungsstätten einschließlich der Anerkennungsvoraussetzungen gestellt werden.</w:t>
      </w:r>
    </w:p>
    <w:p>
      <w:r>
        <w:t xml:space="preserve">(6) Für Bauprodukte, die wegen ihrer besonderen Eigenschaften oder ihres besonderen Verwendungszweckes einer außergewöhnlichen Sorgfalt bei Einbau, Transport, Instandhaltung oder Reinigung bedürfen, kann in der allgemeinen bauaufsichtlichen Zulassung, in der Zustimmung im Einzelfall oder durch Rechtsverordnung des für die Bauaufsicht zuständigen Mitglieds der Landesregierung die Überwachung dieser Tätigkeiten durch eine Überwachungsstelle nach § 22 vorgeschrieben werden.</w:t>
      </w:r>
    </w:p>
    <w:p>
      <w:r>
        <w:t xml:space="preserve">(7) Das Deutsche Institut für Bautechnik kann im Einvernehmen mit der obersten Bauaufsichtsbehörde in der Bauregelliste B</w:t>
      </w:r>
    </w:p>
    <w:p>
      <w:r>
        <w:t xml:space="preserve">festlegen, welche der Klassen- und Leistungsstufen, die in Normen, Leitlinien oder europäischen technischen Zulassungen nach dem Bauproduktengesetz oder in anderen Vorschriften zur Umsetzung von Richtlinien der Europäischen Gemeinschaften enthalten sind, Bauprodukte nach Absatz 1 Nr. 2 erfüllen müssen und</w:t>
      </w:r>
    </w:p>
    <w:p>
      <w:r>
        <w:t xml:space="preserve">bekannt machen, inwieweit andere Vorschriften zur Umsetzung von Richtlinien der Europäischen Gemeinschaften die wesentlichen Anforderungen nach § 5 Abs. 1 des Bauproduktengesetzes nicht berücksichtigen.</w:t>
      </w:r>
    </w:p>
    <w:p>
      <w:r>
        <w:rPr>
          <w:color w:val="555555"/>
          <w:sz w:val="17"/>
        </w:rPr>
        <w:t xml:space="preserve">Zitiervorschlag: § 14 BbgBO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