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BbgBO (Brandenburg) — Wärme-, Schall- und Erschütterungsschutz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24.08.2026. Dies ist nicht die aktuelle Fassung.</w:t>
      </w:r>
    </w:p>
    <w:p>
      <w:r>
        <w:t xml:space="preserve">(1) Gebäude müssen einen ihrer Nutzung, ihrem Standort und den klimatischen Verhältnissen entsprechenden Wärmeschutz haben.</w:t>
      </w:r>
    </w:p>
    <w:p>
      <w:r>
        <w:t xml:space="preserve">(2) Gebäude müssen einen ihrer Nutzung und dem Standort entsprechenden ausreichenden Schallschutz haben. Wenn die Lage oder Nutzung von Gebäuden mit Aufenthaltsräumen es erfordert, können Lärmschutzmauern oder ähnliche Anlagen verlangt werden.</w:t>
      </w:r>
    </w:p>
    <w:p>
      <w:r>
        <w:t xml:space="preserve">(3) Erschütterungen, Schwingungen oder Geräusche, die von ortsfesten Anlagen oder Einrichtungen in baulichen Anlagen oder auf Grundstücken ausgehen, sind so zu dämmen, dass Gefahren oder unzumutbare Belästigungen nicht entstehen.</w:t>
      </w:r>
    </w:p>
    <w:p>
      <w:r>
        <w:rPr>
          <w:color w:val="555555"/>
          <w:sz w:val="17"/>
        </w:rPr>
        <w:t xml:space="preserve">Zitiervorschlag: § 13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