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BbgBO (Brandenburg) — Brandschutz</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09.09.2026. Dies ist nicht die aktuelle Fassung.</w:t>
      </w:r>
    </w:p>
    <w:p>
      <w:r>
        <w:t xml:space="preserve">(1) Bauliche Anlagen sind so anzuordnen, zu errichten, zu ändern und instand zu halten, dass der Entstehung eines Brandes und der Ausbreitung von Feuer und Rauch (Brandausbreitung) vorgebeugt wird und bei einem Brand die Rettung von Menschen und Tieren sowie eine Entrauchung von Räumen und wirksame Löscharbeiten möglich sind.</w:t>
      </w:r>
    </w:p>
    <w:p>
      <w:r>
        <w:t xml:space="preserve">(2) Baustoffe werden nach den Anforderungen an das Brandverhalten unterschieden in</w:t>
      </w:r>
    </w:p>
    <w:p>
      <w:r>
        <w:t xml:space="preserve">normalentflammbar,</w:t>
      </w:r>
    </w:p>
    <w:p>
      <w:r>
        <w:t xml:space="preserve">schwerentflammbar,</w:t>
      </w:r>
    </w:p>
    <w:p>
      <w:r>
        <w:t xml:space="preserve">nichtbrennbar.</w:t>
      </w:r>
    </w:p>
    <w:p>
      <w:r>
        <w:t xml:space="preserve">Baustoffe, die nicht mindestens normalentflammbar sind (leicht-entflammbare Baustoffe), dürfen nur in einem Verbund mit anderen Baustoffen verwendet werden, der den Anforderungen nach Satz 1 entspricht.</w:t>
      </w:r>
    </w:p>
    <w:p>
      <w:r>
        <w:t xml:space="preserve">(3) Bauliche Anlagen, bei denen nach Lage, Bauart oder Nutzung Blitzschlag leicht eintreten oder zu schweren Folgen führen kann, sind mit dauernd wirksamen Blitzschutzanlagen zu versehen.</w:t>
      </w:r>
    </w:p>
    <w:p>
      <w:r>
        <w:rPr>
          <w:color w:val="555555"/>
          <w:sz w:val="17"/>
        </w:rPr>
        <w:t xml:space="preserve">Zitiervorschlag: § 12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