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BbgBO (Brandenburg) — Standsicherheit, Schutz gegen schädliche Einflüsse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Jede bauliche Anlage und andere Anlage und Einrichtung muss unter Berücksichtigung der Tragfähigkeit und Setzungsempfindlichkeit des Baugrundes und der Grundwasserverhältnisse standsicher sein. Die Standsicherheit anderer baulicher Anlagen und anderer Anlagen und Einrichtungen sowie die Tragfähigkeit des Baugrundes des Nachbargrundstücks dürfen nicht gefährdet werden.</w:t>
      </w:r>
    </w:p>
    <w:p>
      <w:r>
        <w:t xml:space="preserve">(2) Die Verwendung gemeinsamer Bauteile für mehrere bauliche Anlagen ist zulässig, wenn rechtlich gesichert ist, dass die gemeinsamen Bauteile bei der Beseitigung einer der baulichen Anlagen bestehen bleiben können.</w:t>
      </w:r>
    </w:p>
    <w:p>
      <w:r>
        <w:t xml:space="preserve">(3) Bauliche Anlagen sowie andere Anlagen und Einrichtungen müssen so angeordnet, beschaffen und gebrauchstauglich sein, dass durch Wasser, Feuchtigkeit, pflanzliche oder tierische Schädlinge sowie andere chemische, physikalische oder biologische Einwirkungen keine Gefahren oder unzumutbare Belästigungen entstehen.</w:t>
      </w:r>
    </w:p>
    <w:p>
      <w:r>
        <w:rPr>
          <w:color w:val="555555"/>
          <w:sz w:val="17"/>
        </w:rPr>
        <w:t xml:space="preserve">Zitiervorschlag: § 11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