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AbgG (Brandenburg) — Übergangsregelungen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Jahr 2025 bereits geleistete Vorauszahlungen auf Aufwendungen für erstattungsfähige Miet- und Leasingnebenkosten gemäß § 8 Absatz 1 Nummer 3 in der Fassung des Abgeordnetengesetzes vom 15. Dezember 2022 (GVBl. I Nr. 26) werden mit Leistungen nach § 5 Absatz 1a verrechnet. Für die Anpassung des Zuschlags gemäß § 5 Absatz 1a nach § 5 Absatz 5 in Verbindung mit Absatz 6 gilt die Maßgabe, dass eine Anpassung erstmalig zum 1. Januar 2027 erfolgt.</w:t>
      </w:r>
    </w:p>
    <w:p>
      <w:r>
        <w:t xml:space="preserve">(2) Mit Beginn der neunten Wahlperiode ist § 5 Absatz 7 dergestalt anzuwenden, dass die jährliche Anpassung der Entschädigungsbestandteile gemäß § 5 Absatz 1 Nummer 1 und Absatz 2 unbeschadet vorangegangener Beschlüsse des Landtages ohne Berücksichtigung eines Grenzwertes unmittelbar gemäß den Mitteilungen des Amtes für Statistik Berlin-Brandenburg nach Absatz 8 erfolgt.</w:t>
      </w:r>
    </w:p>
    <w:p>
      <w:r>
        <w:rPr>
          <w:color w:val="555555"/>
          <w:sz w:val="17"/>
        </w:rPr>
        <w:t xml:space="preserve">Zitiervorschlag: § 32 AbgG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https://recht.nulegal.eu/gesetze/bb-abgg--2019/32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