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AbgG (Brandenburg) — Wahlvorbereitungsurlaub</w:t>
      </w:r>
    </w:p>
    <w:p>
      <w:r>
        <w:rPr>
          <w:color w:val="555555"/>
          <w:sz w:val="18"/>
        </w:rPr>
        <w:t xml:space="preserve">Abgeordnetengesetz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Wer sich um einen Sitz im Landtag bewirbt, hat innerhalb der letzten zwei Monate vor dem Wahltag auf Antrag Anspruch auf den zur Vorbereitung seiner Wahl erforderlichen Urlaub von bis zu zwei Monaten. Ein Anspruch auf Fortzahlung des Gehaltes oder des Lohnes besteht für die Dauer der Beurlaubung nicht.</w:t>
      </w:r>
    </w:p>
    <w:p>
      <w:r>
        <w:t xml:space="preserve">Einzelnorm</w:t>
      </w:r>
    </w:p>
    <w:p>
      <w:r>
        <w:rPr>
          <w:color w:val="555555"/>
          <w:sz w:val="17"/>
        </w:rPr>
        <w:t xml:space="preserve">Zitiervorschlag: § 3 AbgG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https://recht.nulegal.eu/gesetze/bb-abgg--2019/3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