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25a AbgG (Brandenburg) — Zulässigkeit der Annahme von Leistungen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Zulässig ist die Annahme einer Leistung,</w:t>
      </w:r>
    </w:p>
    <w:p>
      <w:r>
        <w:t xml:space="preserve">mit der eine Fraktion oder eine Gruppe besondere Dienste eines Mitglieds vergütet, Aufwendungen nach § 7 Absatz 2 des Fraktionsgesetzes erstattet oder die Wahrnehmung herausgehobener Funktionen vergütet,</w:t>
      </w:r>
    </w:p>
    <w:p>
      <w:r>
        <w:t xml:space="preserve">soweit der Wert der Leistung den Wert einer von dem Mitglied des Landtags tatsächlich erbrachten Gegenleistung nicht übersteigt; maßgeblich ist der verkehrsübliche Wert; ist ein solcher nicht festzustellen, ist maßgeblich, dass Leistung und Gegenleistung nicht offensichtlich außer Verhältnis stehen,</w:t>
      </w:r>
    </w:p>
    <w:p>
      <w:r>
        <w:t xml:space="preserve">die für die politische Tätigkeit als Mitglied des Landtags gewährt wird (Spende); § 25 Absatz 2 des Parteiengesetzes gilt entsprechend,</w:t>
      </w:r>
    </w:p>
    <w:p>
      <w:r>
        <w:t xml:space="preserve">die dem Mitglied des Landtags zur Teilnahme an</w:t>
      </w:r>
    </w:p>
    <w:p>
      <w:r>
        <w:t xml:space="preserve">internationalen oder interparlamentarischen Begegnungen oder</w:t>
      </w:r>
    </w:p>
    <w:p>
      <w:r>
        <w:t xml:space="preserve">Veranstaltungen zur politischen Information, zur Darstellung der Standpunkte des Landtags oder seiner Fraktion oder Gruppe oder als Repräsentant des Landtags</w:t>
      </w:r>
    </w:p>
    <w:p>
      <w:r>
        <w:t xml:space="preserve">gewährt wird,</w:t>
      </w:r>
    </w:p>
    <w:p>
      <w:r>
        <w:t xml:space="preserve">die ohne Erwartung einer Gegenleistung erbracht wird (Geschenk) und parlamentarischen oder gesellschaftlichen Gepflogenheiten entspricht, wenn der Wert im Einzelfall 100 Euro nicht übersteigt.</w:t>
      </w:r>
    </w:p>
    <w:p>
      <w:r>
        <w:t xml:space="preserve">(2) Die Annahme einer Leistung nach Absatz 1 ist unzulässig, wenn die Leistung nur gewährt wird, weil dafür die Vertretung und Durchsetzung der Interessen der leistenden Person oder Dritter im Landtag erwartet wird.</w:t>
      </w:r>
    </w:p>
    <w:p>
      <w:r>
        <w:rPr>
          <w:color w:val="555555"/>
          <w:sz w:val="17"/>
        </w:rPr>
        <w:t xml:space="preserve">Zitiervorschlag: § 25a AbgG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https://recht.nulegal.eu/gesetze/bb-abgg--2019/25a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