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AbgG (Brandenburg) — Annahme von Leistungen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Ein Mitglied des Landtags darf mit Rücksicht auf sein Mandat keine anderen als die in diesem Gesetz geregelten Leistungen annehmen.</w:t>
      </w:r>
    </w:p>
    <w:p>
      <w:r>
        <w:t xml:space="preserve">(2) Leistungen sind Geldzahlungen und die Gewährung geldwerter Vorteile.</w:t>
      </w:r>
    </w:p>
    <w:p>
      <w:r>
        <w:rPr>
          <w:color w:val="555555"/>
          <w:sz w:val="17"/>
        </w:rPr>
        <w:t xml:space="preserve">Zitiervorschlag: § 25 AbgG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https://recht.nulegal.eu/gesetze/bb-abgg--2019/25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