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AbgG (Brandenburg) — Schutz der freien Mandatsausübung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Niemand darf gehindert werden, sich um ein Mandat im Landtag zu bewerben, es zu übernehmen oder auszuüben.</w:t>
      </w:r>
    </w:p>
    <w:p>
      <w:r>
        <w:t xml:space="preserve">(2) Benachteiligungen am Arbeitsplatz im Zusammenhang mit der Bewerbung um ein Mandat sowie der Annahme und Ausübung eines Mandats sind unzulässig.</w:t>
      </w:r>
    </w:p>
    <w:p>
      <w:r>
        <w:t xml:space="preserve">(3) In der Zeit vom Einreichen des Wahlvorschlags bis ein Jahr nach der Beendigung des Mandats sind Kündigungen und Entlassungen nur aus wichtigem Grund zulässig; sie sind unzulässig, wenn sie im Zusammenhang mit der Annahme und Ausübung des Mandats erfolgen.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AbgG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https://recht.nulegal.eu/gesetze/bb-abgg--2019/2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