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AbgG (Brandenburg) — Begriffsbestimmungen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Im Sinne dieses Gesetzes sind</w:t>
      </w:r>
    </w:p>
    <w:p>
      <w:r>
        <w:t xml:space="preserve">Versorgungsberechtigte ehemalige Mitglieder des Landtags, die Übergangsgeld (§ 14), Altersrente (§ 15 Absatz 3 Nummer 1), Versorgung wegen Gesundheitsschäden (§ 16) oder Altersversorgung nach dem bis zum Inkrafttreten dieses Gesetzes geltenden Recht beziehen, sowie diejenigen, die Hinterbliebenenrente (§ 15 Absatz 3 Nummer 2) oder Hinterbliebenenversorgung nach dem bis zum Inkrafttreten dieses Gesetzes geltenden Recht erhalten,</w:t>
      </w:r>
    </w:p>
    <w:p>
      <w:r>
        <w:t xml:space="preserve">Versorgung die in Nummer 1 aufgeführten Leistungen,</w:t>
      </w:r>
    </w:p>
    <w:p>
      <w:r>
        <w:t xml:space="preserve">gesetzgebende Körperschaften das Europäische Parlament, der Deutsche Bundestag, die Landesparlamente und die aus der Wahl vom 18. März 1990 hervorgegangene Volkskammer der DDR 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18 AbgG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https://recht.nulegal.eu/gesetze/bb-abgg--2019/18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