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AbgG (Brandenburg) — Erwerb und Verlust der Mitgliedschaft</w:t>
      </w:r>
    </w:p>
    <w:p>
      <w:r>
        <w:rPr>
          <w:color w:val="555555"/>
          <w:sz w:val="18"/>
        </w:rPr>
        <w:t xml:space="preserve">Abgeordnetengesetz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Erwerb und Verlust der Mitgliedschaft im Landtag regeln sich nach den Vorschriften des Brandenburgischen Landeswahlgesetzes.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 AbgG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https://recht.nulegal.eu/gesetze/bb-abgg--2019/1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