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JABG (Brandenburg) — Jahresabschluss</w:t>
      </w:r>
    </w:p>
    <w:p>
      <w:r>
        <w:rPr>
          <w:color w:val="555555"/>
          <w:sz w:val="18"/>
        </w:rPr>
        <w:t xml:space="preserve">2. Jahresabschlussbeschleunigungsgesetz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01.08.2026 (konsolidierte Textfassung, kein amtliches Inkrafttretensdatum)</w:t>
      </w:r>
    </w:p>
    <w:p>
      <w:r>
        <w:t xml:space="preserve">(1) Die Gemeinden und Gemeindeverbände können bei der Aufstellung der Jahresabschlüsse für die auf die Umstellung der Haushaltswirtschaft nach § 63 Absatz 3 der Kommunalverfassung des Landes Brandenburg vom 18. Dezember 2007 ( GVBl. I S. 286), die zuletzt durch Artikel 3 des Gesetzes vom 30. Juni 2022 (GVBl. I Nr. 18 S. 6) geändert worden ist, folgenden Haushaltsjahre bis einschließlich für das Haushaltsjahr 2023 auf die Erstellung folgender Bestandteile und Anlagen verzichten:</w:t>
      </w:r>
    </w:p>
    <w:p>
      <w:r>
        <w:t xml:space="preserve">die Teilrechnungen nach § 82 Absatz 2 Satz 1 Nummer 3 der Kommunalverfassung des Landes Brandenburg vom 18. Dezember 2007 (GVBl. I S. 286), die zuletzt durch Artikel 3 des Gesetzes vom 30. Juni 2022 (GVBl. I Nr. 18 S. 6) geändert worden ist,</w:t>
      </w:r>
    </w:p>
    <w:p>
      <w:r>
        <w:t xml:space="preserve">den Rechenschaftsbericht nach § 82 Absatz 2 Satz 1 Nummer 5 der Kommunalverfassung des Landes Brandenburg vom 18. Dezember 2007 (GVBl. I S. 286), die zuletzt durch Artikel 3 des Gesetzes vom 30. Juni 2022 (GVBl. I Nr. 18 S. 6) geändert worden ist,</w:t>
      </w:r>
    </w:p>
    <w:p>
      <w:r>
        <w:t xml:space="preserve">die Anlagen-, Forderungs- und Verbindlichkeitenübersicht nach § 82 Absatz 2 Satz 2 Nummer 2 bis 4 der Kommunalverfassung des Landes Brandenburg vom 18. Dezember 2007 (GVBl. I S. 286), die zuletzt durch Artikel 3 des Gesetzes vom 30. Juni 2022 (GVBl. I Nr. 18 S. 6) geändert worden ist, und</w:t>
      </w:r>
    </w:p>
    <w:p>
      <w:r>
        <w:t xml:space="preserve">die Angaben nach § 58 Absatz 2 Nummer 3 bis 10 der Kommunalen Haushalts- und Kassenverordnung vom 14. Februar 2008 ( GVBl. II S. 14), die zuletzt durch die Verordnung vom 17. August 2023 (GVBl. II Nr. 58) geändert worden ist.</w:t>
      </w:r>
    </w:p>
    <w:p>
      <w:r>
        <w:t xml:space="preserve">Vor der Aufstellung der Jahresabschlüsse nach Satz 1 ist ein Beschluss der Gemeindevertretung erforderlich.</w:t>
      </w:r>
    </w:p>
    <w:p>
      <w:r>
        <w:t xml:space="preserve">(2) Die Jahresabschlüsse nach Absatz 1 können zeitlich gemeinsam mit dem Jahresabschluss für das Haushaltsjahr 2024 aufgestellt werden.</w:t>
      </w:r>
    </w:p>
    <w:p>
      <w:r>
        <w:rPr>
          <w:color w:val="555555"/>
          <w:sz w:val="17"/>
        </w:rPr>
        <w:t xml:space="preserve">Zitiervorschlag: § 1 JABG (Brandenburg)</w:t>
      </w:r>
    </w:p>
    <w:p>
      <w:r>
        <w:rPr>
          <w:color w:val="555555"/>
          <w:sz w:val="17"/>
        </w:rPr>
        <w:t xml:space="preserve">Quelle: bravors, abgerufen 01.08.2026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https://recht.nulegal.eu/gesetze/bb-2_jabg--2024/1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