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BAW/BAFAG — Bezeichnung des Bundesausfuhramtes</w:t>
      </w:r>
    </w:p>
    <w:p>
      <w:r>
        <w:rPr>
          <w:color w:val="555555"/>
          <w:sz w:val="18"/>
        </w:rPr>
        <w:t xml:space="preserve">Gesetz über die Zusammenlegung des Bundesamtes für Wirtschaft mit dem Bundesausfuhramt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Bundesausfuhramt erhält die Bezeichnung "Bundesamt für Wirtschaft und Ausfuhrkontrolle (BAFA)".</w:t>
      </w:r>
    </w:p>
    <w:p>
      <w:r>
        <w:rPr>
          <w:color w:val="555555"/>
          <w:sz w:val="17"/>
        </w:rPr>
        <w:t xml:space="preserve">Zitiervorschlag: § 3 BAW/BAFAG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https://recht.nulegal.eu/gesetze/baw_bafag/3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