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BAW/BAFAG — Eingliederung</w:t>
      </w:r>
    </w:p>
    <w:p>
      <w:r>
        <w:rPr>
          <w:color w:val="555555"/>
          <w:sz w:val="18"/>
        </w:rPr>
        <w:t xml:space="preserve">Gesetz über die Zusammenlegung des Bundesamtes für Wirtschaft mit dem Bundesausfuhramt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Geschäftsbereich des Bundesministeriums für Wirtschaft und Energie wird das Bundesamt für Wirtschaft in das Bundesausfuhramt eingegliedert.</w:t>
      </w:r>
    </w:p>
    <w:p>
      <w:r>
        <w:t xml:space="preserve">(2) Das Bundesamt für Wirtschaft wird damit aufgelöst. Die bisher vom Bundesamt für Wirtschaft wahrgenommenen Aufgaben gehen auf das Bundesausfuhramt über.</w:t>
      </w:r>
    </w:p>
    <w:p>
      <w:r>
        <w:rPr>
          <w:color w:val="555555"/>
          <w:sz w:val="17"/>
        </w:rPr>
        <w:t xml:space="preserve">Zitiervorschlag: § 1 BAW/BAFAG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https://recht.nulegal.eu/gesetze/baw_bafag/1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