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BüroMKfAusbV — Staatliche Anerkennung des Ausbildungsberufes</w:t>
      </w:r>
    </w:p>
    <w:p>
      <w:r>
        <w:rPr>
          <w:color w:val="555555"/>
          <w:sz w:val="18"/>
        </w:rPr>
        <w:t xml:space="preserve">Büromanagementkaufleute-Ausbildungsverordnung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Der Ausbildungsberuf des Kaufmanns für Büromanagement und der Kauffrau für Büromanagement wird nach § 4 Absatz 1 des Berufsbildungsgesetzes staatlich anerkannt. Der Ausbildungsberuf ist, soweit die Berufsausbildung im Bereich des öffentlichen Dienstes stattfindet, Ausbildungsberuf des öffentlichen Dienstes. Im Übrigen ist er Ausbildungsberuf der gewerblichen Wirtschaft.</w:t>
      </w:r>
    </w:p>
    <w:p>
      <w:r>
        <w:rPr>
          <w:color w:val="555555"/>
          <w:sz w:val="17"/>
        </w:rPr>
        <w:t xml:space="preserve">Zitiervorschlag: § 1 BüroMKfAusbV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https://recht.nulegal.eu/gesetze/b_romkfausbv--2013/1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