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AugOptMstrV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Historische Fassung: Stand 10.06.2019 bis 01.07.2026. Dies ist nicht die aktuelle Fassung.</w:t>
      </w:r>
    </w:p>
    <w:p>
      <w:r>
        <w:t xml:space="preserve">Auf Grund des § 45 Abs. 1 der Handwerksordnung in der Fassung der Bekanntmachung vom 24. September 1998 (BGBl. I S. 3074), der durch Artikel 1 Nr. 39 des Gesetzes vom 24. Dezember 2003 (BGBl. I S. 2934)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AugOptMstrV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https://recht.nulegal.eu/gesetze/augoptmstrv--2005/eingangsformel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