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AugOptMstrV — Prüfungsdauer und Bestehen des Teils I</w:t>
      </w:r>
    </w:p>
    <w:p>
      <w:r>
        <w:rPr>
          <w:color w:val="555555"/>
          <w:sz w:val="18"/>
        </w:rPr>
        <w:t xml:space="preserve">Augenoptikermeisterverordnung</w:t>
      </w:r>
    </w:p>
    <w:p>
      <w:r>
        <w:rPr>
          <w:color w:val="555555"/>
          <w:sz w:val="18"/>
        </w:rPr>
        <w:t xml:space="preserve">Historische Fassung: Stand 10.06.2019 bis 01.07.2026. Dies ist nicht die aktuelle Fassung.</w:t>
      </w:r>
    </w:p>
    <w:p>
      <w:r>
        <w:t xml:space="preserve">(1) Die Durchführung des Meisterprüfungsprojekts soll nicht länger als zwei Arbeitstage und das Fachgespräch nicht länger als 30 Minuten dauern.</w:t>
      </w:r>
    </w:p>
    <w:p>
      <w:r>
        <w:t xml:space="preserve">(2) Das Meisterprüfungsprojekt und das Fachgespräch werden gesondert bewertet. Die Prüfungsleistungen im Meisterprüfungsprojekt und im Fachgespräch werden im Verhältnis 2 : 1 gewichtet. Hieraus wird eine Gesamtbewertung gebildet.</w:t>
      </w:r>
    </w:p>
    <w:p>
      <w:r>
        <w:t xml:space="preserve">(3) Mindestvoraussetzung für das Bestehen des Teils I der Meisterprüfung ist eine insgesamt ausreichende Prüfungsleistung, wobei die Prüfung weder im Meisterprüfungsprojekt noch im Fachgespräch mit weniger als 30 Punkten bewertet worden sein darf.</w:t>
      </w:r>
    </w:p>
    <w:p>
      <w:r>
        <w:rPr>
          <w:color w:val="555555"/>
          <w:sz w:val="17"/>
        </w:rPr>
        <w:t xml:space="preserve">Zitiervorschlag: § 6 AugOptMstrV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https://recht.nulegal.eu/gesetze/augoptmstrv--2005/6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