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AugOptMstrV — Fachgespräch</w:t>
      </w:r>
    </w:p>
    <w:p>
      <w:r>
        <w:rPr>
          <w:color w:val="555555"/>
          <w:sz w:val="18"/>
        </w:rPr>
        <w:t xml:space="preserve">Augenoptikermeisterverordnung</w:t>
      </w:r>
    </w:p>
    <w:p>
      <w:r>
        <w:rPr>
          <w:color w:val="555555"/>
          <w:sz w:val="18"/>
        </w:rPr>
        <w:t xml:space="preserve">Historische Fassung: Stand 10.06.2019 bis 01.07.2026. Dies ist nicht die aktuelle Fassung.</w:t>
      </w:r>
    </w:p>
    <w:p>
      <w:r>
        <w:t xml:space="preserve">Nach Durchführung des Meisterprüfungsprojekts ist hierüber ein Fachgespräch zu führen. Dabei soll der Prüfling nachweisen, dass er die fachlichen Zusammenhänge aufzeigen kann, die dem Meisterprüfungsprojekt zugrunde liegen,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AugOptMstrV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https://recht.nulegal.eu/gesetze/augoptmstrv--2005/5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