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AHStatDV — Befreiungen von der Anmeldung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Befreit von der Anmeldung sind die in der Anlage (Befreiungsliste) aufgeführten Fälle unter den dort bezeichneten Voraussetzungen.</w:t>
      </w:r>
    </w:p>
    <w:p>
      <w:r>
        <w:t xml:space="preserve">(2) Die Befreiungsschwelle im Sinne des Artikels 28 der Verordnung (EWG) Nr. 3330/91 richtet sich nach § 19 Abs. 1 des Umsatzsteuergesetzes in der jeweils gültigen Fassung. Wird im laufenden Kalenderjahr der in Satz 1 genannte Schwellenwert überschritten, so entfällt die damit verbundene Befreiung.</w:t>
      </w:r>
    </w:p>
    <w:p>
      <w:r>
        <w:rPr>
          <w:color w:val="555555"/>
          <w:sz w:val="17"/>
        </w:rPr>
        <w:t xml:space="preserve">Zitiervorschlag: § 31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