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AHStatDV — Ladungsverzeichnisse, örtliche Schiffsmeldestellen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Soweit die in § 7 Abs. 2 des Gesetzes bezeichneten Ladungsverzeichnisse nicht in deutscher Sprache abgefaßt sind, kann die Anmeldestelle zur Vermeidung unbilliger Härten davon absehen, die Bezeichnung der geladenen Waren in deutscher Sprache zu fordern.</w:t>
      </w:r>
    </w:p>
    <w:p>
      <w:r>
        <w:t xml:space="preserve">(2) Beim Eingang beladener Schiffe, die von See in eine Freizone eingehen, kann die Anmeldestelle zur Vermeidung unbilliger Härten oder aus Gründen einer erhebungstechnischen Vereinfachung auf die Abgabe von Ladungsverzeichnissen nach § 7 Abs. 2 des Gesetzes verzichten, wenn aufgrund der örtlichen Verhältnisse oder sonstiger Umstände eine ordnungsmäßige Anmeldung der einer Anmeldepflicht unterliegenden Waren sichergestellt ist.</w:t>
      </w:r>
    </w:p>
    <w:p>
      <w:r>
        <w:t xml:space="preserve">(3) Die örtlichen Schiffsmeldestellen sind verpflichtet, die eingehenden und ausgehenden Schiffe den Anmeldestellen auf Anfordern anzuzeigen.</w:t>
      </w:r>
    </w:p>
    <w:p>
      <w:r>
        <w:rPr>
          <w:color w:val="555555"/>
          <w:sz w:val="17"/>
        </w:rPr>
        <w:t xml:space="preserve">Zitiervorschlag: § 28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