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AHStatDV — Ausstellungspflichtiger, Ergänzungspflichtiger</w:t>
      </w:r>
    </w:p>
    <w:p>
      <w:r>
        <w:rPr>
          <w:color w:val="555555"/>
          <w:sz w:val="18"/>
        </w:rPr>
        <w:t xml:space="preserve">Außenhandelsstatistik-Durchführungsverordnung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Zur Ausstellung des Anmeldescheines ist in den nachstehenden Fällen verpflichtet</w:t>
      </w:r>
    </w:p>
    <w:p>
      <w:pPr>
        <w:ind w:left="420"/>
      </w:pPr>
      <w:r>
        <w:t xml:space="preserve">1. bei der Einfuhr, wenn ihr</w:t>
      </w:r>
    </w:p>
    <w:p>
      <w:pPr>
        <w:ind w:left="780"/>
      </w:pPr>
      <w:r>
        <w:t xml:space="preserve">a) ein Einfuhrvertrag zugrunde liegt, der Einführer;</w:t>
      </w:r>
    </w:p>
    <w:p>
      <w:pPr>
        <w:ind w:left="780"/>
      </w:pPr>
      <w:r>
        <w:t xml:space="preserve">b) ein anderer Vertrag zugrunde liegt, der im Erhebungsgebiet ansässige Vertragspartner;</w:t>
      </w:r>
    </w:p>
    <w:p>
      <w:pPr>
        <w:ind w:left="780"/>
      </w:pPr>
      <w:r>
        <w:t xml:space="preserve">c) kein Vertrag zugrunde liegt, derjenige, für den die Waren bestimmt sind; wenn dieser nicht bekannt ist, der Besitzer der Waren im Zeitpunkt der Anmeldung;</w:t>
      </w:r>
    </w:p>
    <w:p>
      <w:pPr>
        <w:ind w:left="420"/>
      </w:pPr>
      <w:r>
        <w:t xml:space="preserve">2. bei der Ausfuhr, wenn ihr</w:t>
      </w:r>
    </w:p>
    <w:p>
      <w:pPr>
        <w:ind w:left="780"/>
      </w:pPr>
      <w:r>
        <w:t xml:space="preserve">a) ein Ausfuhrvertrag zugrunde liegt, der Ausführer;</w:t>
      </w:r>
    </w:p>
    <w:p>
      <w:pPr>
        <w:ind w:left="780"/>
      </w:pPr>
      <w:r>
        <w:t xml:space="preserve">b) ein anderer Vertrag zugrunde liegt, der im Erhebungsgebiet ansässige Vertragspartner;</w:t>
      </w:r>
    </w:p>
    <w:p>
      <w:pPr>
        <w:ind w:left="780"/>
      </w:pPr>
      <w:r>
        <w:t xml:space="preserve">c) kein Vertrag zugrunde liegt, der Absender der Waren;wenn ein Absender nicht vorhanden ist, der Besitzer der Waren im Zeitpunkt der Anmeldung;</w:t>
      </w:r>
    </w:p>
    <w:p>
      <w:pPr>
        <w:ind w:left="420"/>
      </w:pPr>
      <w:r>
        <w:t xml:space="preserve">3. bei Waren des Zwischenauslandsverkehrs, die im Ausland verblieben sind, für die Anmeldung zur Ausfuhr derjenige, der den Verbleib im Ausland veranlaßt hat.</w:t>
      </w:r>
    </w:p>
    <w:p>
      <w:r>
        <w:t xml:space="preserve">(2) Zur Ausstellung und Anmeldung ist verpflichtet, wenn Zollpapiere an die Stelle von Anmeldescheinen treten (§ 29), der Anmelder im Sinne der Verordnung (EWG) Nr. 2913/92; dieser hat das Zollpapier um die statistischen Angaben zu ergänzen.</w:t>
      </w:r>
    </w:p>
    <w:p>
      <w:r>
        <w:t xml:space="preserve">(3) Zur Ergänzung des Anmeldepapiers ist in den nachstehenden Fällen verpflichtet</w:t>
      </w:r>
    </w:p>
    <w:p>
      <w:pPr>
        <w:ind w:left="420"/>
      </w:pPr>
      <w:r>
        <w:t xml:space="preserve">1. bei der Ausfuhr von Waren nach See oder rheinabwärts, der Anmeldepflichtige; dieser hat den Namen des Schiffes zu ergänzen oder auf Anforderung anzugeben, sofern die Ausgangszollstelle (§ 24 Abs. 1 Nr. 2 Buchstabe a) Anmeldestelle ist;</w:t>
      </w:r>
    </w:p>
    <w:p>
      <w:pPr>
        <w:ind w:left="420"/>
      </w:pPr>
      <w:r>
        <w:t xml:space="preserve">2. im Seeumschlag derjenige, für den die Waren beim Eingang bestimmt sind; dieser hat den Namen des Schiffes, mit dem die Waren in das Erhebungsgebiet eingegangen sind, den Ankunftstag, den Einladehafen und das Versendungsland dem Statistischen Bundesamt auf Anfordern anzugeben.</w:t>
      </w:r>
    </w:p>
    <w:p>
      <w:r>
        <w:t xml:space="preserve">(4) Die Vorschrift des § 30 bleibt unberührt.</w:t>
      </w:r>
    </w:p>
    <w:p>
      <w:r>
        <w:rPr>
          <w:color w:val="555555"/>
          <w:sz w:val="17"/>
        </w:rPr>
        <w:t xml:space="preserve">Zitiervorschlag: § 23 AHStatDV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https://recht.nulegal.eu/gesetze/ahstatdv--1962/23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