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AHStatDV — Lieferung von Schiffs- und Luftfahrzeugbedarf, Bestimmung der gelieferten Waren für deutsche oder fremde Fahrzeuge</w:t>
      </w:r>
    </w:p>
    <w:p>
      <w:r>
        <w:rPr>
          <w:color w:val="555555"/>
          <w:sz w:val="18"/>
        </w:rPr>
        <w:t xml:space="preserve">Außenhandelsstatistik-Durchführungsverordnung</w:t>
      </w:r>
    </w:p>
    <w:p>
      <w:r>
        <w:rPr>
          <w:color w:val="555555"/>
          <w:sz w:val="18"/>
        </w:rPr>
        <w:t xml:space="preserve">Historische Fassung: Stand 10.06.2019 bis 01.01.2022. Dies ist nicht die aktuelle Fassung.</w:t>
      </w:r>
    </w:p>
    <w:p>
      <w:r>
        <w:t xml:space="preserve">(1) Die Lieferung von Waren an Bord eines im Erhebungsgebiet oder aus verkehrstechnischen Gründen unmittelbar vor der Hoheitsgrenze liegenden zur Schiffahrt in das Ausland bestimmten Fahrzeuges oder an Bord deutscher Lotsendampfer oder Feuerschiffe außerhalb des Erhebungsgebietes sowie an Bord eines im Erhebungsgebiet liegenden im internationalen Flugverkehr eingesetzten Luftfahrzeuges, soweit sie zur Ausrüstung, zum Betrieb, zur Unterhaltung oder zur Ausbesserung des Fahrzeuges, zur Behandlung der Ladung oder zum Gebrauch oder Verbrauch während der Reise oder zum Verkauf an Reisende bestimmt sind (Schiffs- und Luftfahrzeugbedarf), ist - ausgenommen bei Lieferungen nach § 2 Abs. 3 Nr. 5 - nicht zu bestimmten Verkehrsarten, sondern als "Schiffs- und Luftfahrzeugbedarf" anzumelden. Dabei ist anzugeben, ob Waren des freien Verkehrs oder ausländische Waren geliefert werden, bei ausländischen Waren außerdem, ob diese vorher zu einer Einfuhrart angemeldet worden sind; die zuletzt angemeldete Einfuhrart ist anzugeben. Waren, die im Schiffbau zur Ausrüstung und Ausbesserung von Schiffen verwendet werden, gelten nicht als Schiffs- und Luftfahrzeugbedarf.</w:t>
      </w:r>
    </w:p>
    <w:p>
      <w:r>
        <w:t xml:space="preserve">(2) Als deutsche Fahrzeuge gelten Fahrzeuge, die von im Erhebungsgebiet ansässigen Personen bewirtschaftet werden; alle übrigen Fahrzeuge gelten als fremde Fahrzeuge.</w:t>
      </w:r>
    </w:p>
    <w:p>
      <w:r>
        <w:t xml:space="preserve">(3) Für die Lieferung von Waren zum Gebrauch oder Verbrauch auf Anlagen oder Vorrichtungen, die im Bereich des deutschen Festlandsockels zur Aufsuchung und Gewinnung von Bodenschätzen errichtet sind, gelten die Absätze 1 und 2 sowie § 8 Abs. 2, § 15 Abs. 7 und § 30 Abs. 1 Nr. 17 sinngemäß.</w:t>
      </w:r>
    </w:p>
    <w:p>
      <w:r>
        <w:rPr>
          <w:color w:val="555555"/>
          <w:sz w:val="17"/>
        </w:rPr>
        <w:t xml:space="preserve">Zitiervorschlag: § 19 AHStatDV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https://recht.nulegal.eu/gesetze/ahstatdv--1962/19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