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ÜbkBern/BerlinAV</w:t>
      </w:r>
    </w:p>
    <w:p>
      <w:r>
        <w:rPr>
          <w:color w:val="555555"/>
          <w:sz w:val="18"/>
        </w:rPr>
        <w:t xml:space="preserve">Verordnung zur Ausführung der am 13. November 1908 zu Berlin abgeschlossenen revidierten Berner Übereinkunft zum Schutze von Werken der Literatur und Kunst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Verhältnis zu einem Staate, demgegenüber die revidierte Übereinkunft nach dem in ihrem Artikel 29 bezeichneten Zeitpunkt Geltung erlangt, finden die Vorschriften des § 1 entsprechende Anwendung. Soweit danach der Zeitpunkt des Inkrafttretens der Übereinkunft entscheidet, ist der Zeitpunkt maßgebend, in dem die revidierte Übereinkunft im Verhältnisse zu diesem Staate Geltung erlangt.</w:t>
      </w:r>
    </w:p>
    <w:p>
      <w:r>
        <w:rPr>
          <w:color w:val="555555"/>
          <w:sz w:val="17"/>
        </w:rPr>
        <w:t xml:space="preserve">Zitiervorschlag: § 2 ÜbkBern/BerlinAV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https://recht.nulegal.eu/gesetze/_bkbern_berlinav/2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