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ZwrMechMstrV 2022</w:t>
      </w:r>
    </w:p>
    <w:p>
      <w:r>
        <w:rPr>
          <w:color w:val="555555"/>
          <w:sz w:val="18"/>
        </w:rPr>
        <w:t xml:space="preserve">Zweiradmechanikermeisterverordnung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Auf Grund des § 45 Absatz 1 der Handwerksordnung in der Fassung der Bekanntmachung vom 24. September 1998 (BGBl. I S. 3074), der zuletzt durch Artikel 283 der Verordnung vom 31. August 2015 (BGBl. I S. 1474) geändert worden ist, verordnet das Bundesministerium für Wirtschaft und Energie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ZwrMechMstrV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https://recht.nulegal.eu/gesetze/ZwrMechMstrV%202022/eingangsformel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