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ZwrMechMstrV 2022 — Gewichtung, Bestehen der Prüfung in Teil I</w:t>
      </w:r>
    </w:p>
    <w:p>
      <w:r>
        <w:rPr>
          <w:color w:val="555555"/>
          <w:sz w:val="18"/>
        </w:rPr>
        <w:t xml:space="preserve">Zweiradmechanikermeisterverordnung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Meisterprüfungsprojekt, das Fachgespräch und die Situationsaufgabe werden gesondert bewertet. Für das Gesamtergebnis der Prüfung in Teil I der Meisterprüfung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wenn: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ZwrMechMstrV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https://recht.nulegal.eu/gesetze/ZwrMechMstrV%202022/7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ZwrMechMstrV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