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ZwrMechMstrV 2005 — Situationsaufgabe</w:t>
      </w:r>
    </w:p>
    <w:p>
      <w:r>
        <w:rPr>
          <w:color w:val="555555"/>
          <w:sz w:val="18"/>
        </w:rPr>
        <w:t xml:space="preserve">Zweiradmechanikermeisterverordnung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Die Situationsaufgabe ist auftragsorientiert und vervollständigt den Qualifikationsnachweis für die Meisterprüfung im Zweiradmechaniker-Handwerk. Die Aufgabenstellung erfolgt durch den Meisterprüfungsausschuss.</w:t>
      </w:r>
    </w:p>
    <w:p>
      <w:r>
        <w:t xml:space="preserve">(2) Als Situationsaufgabe sind jeweils zwei der unter Nummer 1 oder unter Nummer 2 aufgeführten Arbeiten sowie die Arbeiten nach Nummer 3 auszuführen. Werden die Arbeiten nach Nummer 1 ausgeführt, ist in jedem Fall die Arbeit nach Buchstabe a sowie die Instandhaltung nach Nummer 3 am nichtmotorisierten Zwei- oder Dreirad auszuführen. Werden die Arbeiten nach Nummer 2 ausgeführt, ist die Instandhaltung nach Nummer 3 am motorisierten Zwei- oder Dreirad auszuführen:</w:t>
      </w:r>
    </w:p>
    <w:p>
      <w:pPr>
        <w:ind w:left="420"/>
      </w:pPr>
      <w:r>
        <w:t xml:space="preserve">1. Diagnosen an zwei der unter Buchstabe a bis g aufgeführten Systeme ausführen und Prüfprotokolle erstellen:</w:t>
      </w:r>
    </w:p>
    <w:p>
      <w:pPr>
        <w:ind w:left="780"/>
      </w:pPr>
      <w:r>
        <w:t xml:space="preserve">a) elektronische Motormanagement-Systeme unter Einbeziehung der Abgaszusammensetzung,</w:t>
      </w:r>
    </w:p>
    <w:p>
      <w:pPr>
        <w:ind w:left="780"/>
      </w:pPr>
      <w:r>
        <w:t xml:space="preserve">b) elektronische Zündsysteme,</w:t>
      </w:r>
    </w:p>
    <w:p>
      <w:pPr>
        <w:ind w:left="780"/>
      </w:pPr>
      <w:r>
        <w:t xml:space="preserve">c) Ladesysteme,</w:t>
      </w:r>
    </w:p>
    <w:p>
      <w:pPr>
        <w:ind w:left="780"/>
      </w:pPr>
      <w:r>
        <w:t xml:space="preserve">d) Gemischaufbereitungssysteme,</w:t>
      </w:r>
    </w:p>
    <w:p>
      <w:pPr>
        <w:ind w:left="780"/>
      </w:pPr>
      <w:r>
        <w:t xml:space="preserve">e) hydraulische Bremssysteme mit Anti-Blockier-System,</w:t>
      </w:r>
    </w:p>
    <w:p>
      <w:pPr>
        <w:ind w:left="780"/>
      </w:pPr>
      <w:r>
        <w:t xml:space="preserve">f) elektronische Kommunikations- oder Navigationssysteme,</w:t>
      </w:r>
    </w:p>
    <w:p>
      <w:pPr>
        <w:ind w:left="780"/>
      </w:pPr>
      <w:r>
        <w:t xml:space="preserve">g) elektronische Fahrwerkkontrollsysteme;</w:t>
      </w:r>
    </w:p>
    <w:p>
      <w:pPr>
        <w:ind w:left="420"/>
      </w:pPr>
      <w:r>
        <w:t xml:space="preserve">2. Diagnosen an zwei der unter Buchstabe a bis d aufgeführten Systeme, Baugruppen oder Bauteile von nichtmotorisierten Zwei- oder Dreirädern ausführen und Prüfprotokolle erstellen:</w:t>
      </w:r>
    </w:p>
    <w:p>
      <w:pPr>
        <w:ind w:left="780"/>
      </w:pPr>
      <w:r>
        <w:t xml:space="preserve">a) Schaltungssysteme und Kraftübertragung,</w:t>
      </w:r>
    </w:p>
    <w:p>
      <w:pPr>
        <w:ind w:left="780"/>
      </w:pPr>
      <w:r>
        <w:t xml:space="preserve">b) Bremssysteme,</w:t>
      </w:r>
    </w:p>
    <w:p>
      <w:pPr>
        <w:ind w:left="780"/>
      </w:pPr>
      <w:r>
        <w:t xml:space="preserve">c) gefederte Radaufhängungen,</w:t>
      </w:r>
    </w:p>
    <w:p>
      <w:pPr>
        <w:ind w:left="780"/>
      </w:pPr>
      <w:r>
        <w:t xml:space="preserve">d) Hilfsantriebe durch Elektro- oder Verbrennungsmotoren;</w:t>
      </w:r>
    </w:p>
    <w:p>
      <w:pPr>
        <w:ind w:left="420"/>
      </w:pPr>
      <w:r>
        <w:t xml:space="preserve">3. Instandhaltung am Zwei- oder Dreirad nach Herstellervorgaben ausführen und dokumentieren.</w:t>
      </w:r>
    </w:p>
    <w:p>
      <w:r>
        <w:t xml:space="preserve">(3) Die Gesamtbewertung der Situationsaufgabe wird aus dem arithmetischen Mittel der Einzelbewertungen nach Absatz 2 gebildet.</w:t>
      </w:r>
    </w:p>
    <w:p>
      <w:r>
        <w:rPr>
          <w:color w:val="555555"/>
          <w:sz w:val="17"/>
        </w:rPr>
        <w:t xml:space="preserve">Zitiervorschlag: § 6 ZwrMechMstrV 2005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https://recht.nulegal.eu/gesetze/ZwrMechMstrV%202005/6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ZwrMechMstrV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