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ZweiradFortbV</w:t>
      </w:r>
    </w:p>
    <w:p>
      <w:r>
        <w:rPr>
          <w:color w:val="555555"/>
          <w:sz w:val="18"/>
        </w:rPr>
        <w:t xml:space="preserve">Zweirad-Service-Fortbildungsverordnung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durch Artikel 232 Nummer 3 Buchstabe a der Verordnung vom 31. Oktober 2006 (BGBl. I S. 2407) geändert worden ist und des § 42 der Handwerksordnung, der zuletzt durch Artikel 146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ZweiradFortbV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https://recht.nulegal.eu/gesetze/ZweiradFortbV/eingangsformel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