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ZweiradFortbV — Struktur der Prüfungsinhalte</w:t>
      </w:r>
    </w:p>
    <w:p>
      <w:r>
        <w:rPr>
          <w:color w:val="555555"/>
          <w:sz w:val="18"/>
        </w:rPr>
        <w:t xml:space="preserve">Zweirad-Service-Fortbildungsverordnung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 gliedert sich in die Handlungsbereiche</w:t>
      </w:r>
    </w:p>
    <w:p>
      <w:pPr>
        <w:ind w:left="420"/>
      </w:pPr>
      <w:r>
        <w:t xml:space="preserve">1. Technik und</w:t>
      </w:r>
    </w:p>
    <w:p>
      <w:pPr>
        <w:ind w:left="420"/>
      </w:pPr>
      <w:r>
        <w:t xml:space="preserve">2. Organisation, Kooperation und Kommunikation.</w:t>
      </w:r>
    </w:p>
    <w:p>
      <w:r>
        <w:t xml:space="preserve">(2) Zum Handlungsbereich „Technik“ gehören die Qualifikationsschwerpunkte:</w:t>
      </w:r>
    </w:p>
    <w:p>
      <w:pPr>
        <w:ind w:left="420"/>
      </w:pPr>
      <w:r>
        <w:t xml:space="preserve">1. Werkstatt- und Betriebstechnik,</w:t>
      </w:r>
    </w:p>
    <w:p>
      <w:pPr>
        <w:ind w:left="420"/>
      </w:pPr>
      <w:r>
        <w:t xml:space="preserve">2. Zweiradtechnik,</w:t>
      </w:r>
    </w:p>
    <w:p>
      <w:pPr>
        <w:ind w:left="420"/>
      </w:pPr>
      <w:r>
        <w:t xml:space="preserve">3. Zweiradsysteme der nichtmotorisierten Zweiräder und</w:t>
      </w:r>
    </w:p>
    <w:p>
      <w:pPr>
        <w:ind w:left="420"/>
      </w:pPr>
      <w:r>
        <w:t xml:space="preserve">4. Zweiradsysteme der motorisierten Zweiräder.</w:t>
      </w:r>
    </w:p>
    <w:p>
      <w:r>
        <w:t xml:space="preserve">(3) Zum Handlungsbereich „Organisation, Kooperation und Kommunikation“ gehören die Qualifikationsschwerpunkte:</w:t>
      </w:r>
    </w:p>
    <w:p>
      <w:pPr>
        <w:ind w:left="420"/>
      </w:pPr>
      <w:r>
        <w:t xml:space="preserve">1. Auftragsabwicklung,</w:t>
      </w:r>
    </w:p>
    <w:p>
      <w:pPr>
        <w:ind w:left="420"/>
      </w:pPr>
      <w:r>
        <w:t xml:space="preserve">2. Ersatzteile und Zubehörteilebestimmung,</w:t>
      </w:r>
    </w:p>
    <w:p>
      <w:pPr>
        <w:ind w:left="420"/>
      </w:pPr>
      <w:r>
        <w:t xml:space="preserve">3. Kostenabschätzung,</w:t>
      </w:r>
    </w:p>
    <w:p>
      <w:pPr>
        <w:ind w:left="420"/>
      </w:pPr>
      <w:r>
        <w:t xml:space="preserve">4. Information,</w:t>
      </w:r>
    </w:p>
    <w:p>
      <w:pPr>
        <w:ind w:left="420"/>
      </w:pPr>
      <w:r>
        <w:t xml:space="preserve">5. Dokumentation,</w:t>
      </w:r>
    </w:p>
    <w:p>
      <w:pPr>
        <w:ind w:left="420"/>
      </w:pPr>
      <w:r>
        <w:t xml:space="preserve">6. Kooperation, Kommunikation und Mitarbeiterqualifizierung und</w:t>
      </w:r>
    </w:p>
    <w:p>
      <w:pPr>
        <w:ind w:left="420"/>
      </w:pPr>
      <w:r>
        <w:t xml:space="preserve">7. Kundenbetreuung und -beratung.</w:t>
      </w:r>
    </w:p>
    <w:p>
      <w:r>
        <w:rPr>
          <w:color w:val="555555"/>
          <w:sz w:val="17"/>
        </w:rPr>
        <w:t xml:space="preserve">Zitiervorschlag: § 3 ZweiradFortbV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https://recht.nulegal.eu/gesetze/ZweiradFortbV/3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