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ZweiradFortbV — Inkrafttreten</w:t>
      </w:r>
    </w:p>
    <w:p>
      <w:r>
        <w:rPr>
          <w:color w:val="555555"/>
          <w:sz w:val="18"/>
        </w:rPr>
        <w:t xml:space="preserve">Zweirad-Service-Fortbildungsverordnung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Diese Verordnung tritt am 1. März 2013 in Kraft.</w:t>
      </w:r>
    </w:p>
    <w:p>
      <w:r>
        <w:rPr>
          <w:color w:val="555555"/>
          <w:sz w:val="17"/>
        </w:rPr>
        <w:t xml:space="preserve">Zitiervorschlag: § 13 ZweiradFortbV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https://recht.nulegal.eu/gesetze/ZweiradFortbV/13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