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ZweiradAusbV</w:t>
      </w:r>
    </w:p>
    <w:p>
      <w:r>
        <w:rPr>
          <w:color w:val="555555"/>
          <w:sz w:val="18"/>
        </w:rPr>
        <w:t xml:space="preserve">Zweiradmechatronikerausbildungsverordnung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Absatz 1 des Berufsbildungsgesetzes, der durch Artikel 232 Nummer 1 der Verordnung vom 31. Oktober 2006 (BGBl. I S. 2407) geändert worden ist, und auf Grund des § 25 Absatz 1 der Handwerksordnung, der zuletzt durch Artikel 146 der Verordnung vom 31. Oktober 2006 (BGBl. I S. 2407) geändert worden ist, jeweils in Verbindung mit § 1 Absatz 2 des Zuständigkeitsanpassungsgesetzes vom 16. August 2002 (BGBl. I S. 3165) und dem Organisationserlass vom 17. Dezember 2013 (BGBl. I S. 4310)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ZweiradAusbV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https://recht.nulegal.eu/gesetze/ZweiradAusbV/eingangsformel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