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ZweiradAusbV — Durchführung der Berufsausbildung, schriftlicher Ausbildungsnachweis</w:t>
      </w:r>
    </w:p>
    <w:p>
      <w:r>
        <w:rPr>
          <w:color w:val="555555"/>
          <w:sz w:val="18"/>
        </w:rPr>
        <w:t xml:space="preserve">Zweiradmechatronikerausbildungsverordnung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des § 1 Absatz 3 des Berufsbildungsgesetzes befähigt werden, was insbesondere selbständiges Planen, Durchführen und Kontrollieren einschließt. Diese Befähigung ist auch in den Prüfungen nach den §§ 7 bis 9 und 11 nachzuweisen.</w:t>
      </w:r>
    </w:p>
    <w:p>
      <w:r>
        <w:t xml:space="preserve">(2) Die Ausbildenden haben auf der Grundlage des Ausbildungsrahmenplans einen Ausbildungsplan für die Auszubildenden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6 ZweiradAusbV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https://recht.nulegal.eu/gesetze/ZweiradAusbV/6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