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ZweiradAusbV — Ausbildungsrahmenplan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im Ausbildungsrahmenplan (Anlage) genannten Fertigkeiten, Kenntnisse und Fähigkeiten (berufliche Handlungsfähigkeit).</w:t>
      </w:r>
    </w:p>
    <w:p>
      <w:r>
        <w:t xml:space="preserve">(2) Eine vom Ausbildungsrahmenplan abweichende Organisation der Berufsausbildung ist insbesondere dann zulässig, wenn betriebspraktische Besonderheiten die Abweichung erfordern.</w:t>
      </w:r>
    </w:p>
    <w:p>
      <w:r>
        <w:rPr>
          <w:color w:val="555555"/>
          <w:sz w:val="17"/>
        </w:rPr>
        <w:t xml:space="preserve">Zitiervorschlag: § 5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