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ZweiradAusbV — Fachrichtungen der Berufsausbildung</w:t>
      </w:r>
    </w:p>
    <w:p>
      <w:r>
        <w:rPr>
          <w:color w:val="555555"/>
          <w:sz w:val="18"/>
        </w:rPr>
        <w:t xml:space="preserve">Zweiradmechatronikerausbildungsverordnung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Berufsausbildung wird in einer der beiden folgenden Fachrichtungen durchgeführt:</w:t>
      </w:r>
    </w:p>
    <w:p>
      <w:pPr>
        <w:ind w:left="420"/>
      </w:pPr>
      <w:r>
        <w:t xml:space="preserve">1. Fahrradtechnik oder</w:t>
      </w:r>
    </w:p>
    <w:p>
      <w:pPr>
        <w:ind w:left="420"/>
      </w:pPr>
      <w:r>
        <w:t xml:space="preserve">2. Motorradtechnik.</w:t>
      </w:r>
    </w:p>
    <w:p>
      <w:r>
        <w:rPr>
          <w:color w:val="555555"/>
          <w:sz w:val="17"/>
        </w:rPr>
        <w:t xml:space="preserve">Zitiervorschlag: § 3 ZweiradAusbV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https://recht.nulegal.eu/gesetze/ZweiradAusbV/3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