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ZweiradAusbV — Staatliche Anerkennung des Ausbildungsberufes</w:t>
      </w:r>
    </w:p>
    <w:p>
      <w:r>
        <w:rPr>
          <w:color w:val="555555"/>
          <w:sz w:val="18"/>
        </w:rPr>
        <w:t xml:space="preserve">Zweiradmechatronikerausbildungsverordnung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Zweiradmechatronikers und der Zweiradmechatronikerin wird staatlich anerkannt nach</w:t>
      </w:r>
    </w:p>
    <w:p>
      <w:pPr>
        <w:ind w:left="420"/>
      </w:pPr>
      <w:r>
        <w:t xml:space="preserve">1. § 4 Absatz 1 des Berufsbildungsgesetzes und</w:t>
      </w:r>
    </w:p>
    <w:p>
      <w:pPr>
        <w:ind w:left="420"/>
      </w:pPr>
      <w:r>
        <w:t xml:space="preserve">2. § 25 der Handwerksordnung zur Ausbildung für das Gewerbe nach Anlage A Nummer 17 Zweiradmechaniker der Handwerksordnung.</w:t>
      </w:r>
    </w:p>
    <w:p>
      <w:r>
        <w:rPr>
          <w:color w:val="555555"/>
          <w:sz w:val="17"/>
        </w:rPr>
        <w:t xml:space="preserve">Zitiervorschlag: § 1 ZweiradAusbV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https://recht.nulegal.eu/gesetze/ZweiradAusbV/1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