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ZweckVermG (Bayern)</w:t>
      </w:r>
    </w:p>
    <w:p>
      <w:r>
        <w:rPr>
          <w:color w:val="555555"/>
          <w:sz w:val="18"/>
        </w:rPr>
        <w:t xml:space="preserve">Zweckvermögensgesetz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ZweckVermG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https://recht.nulegal.eu/gesetze/ZweckVermG/eingangsformel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