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ZweckVG — Wirtschaftsplan</w:t>
      </w:r>
    </w:p>
    <w:p>
      <w:r>
        <w:rPr>
          <w:color w:val="555555"/>
          <w:sz w:val="18"/>
        </w:rPr>
        <w:t xml:space="preserve">Gesetz über das Zweckvermögen des Bundes bei der Landwirtschaftlichen Rentenbank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Einnahmen und Ausgaben sowie Verpflichtungsermächtigungen des Zweckvermögens werden in einem Wirtschaftsplan veranschlagt. Der Wirtschaftsplan ist in einer Anlage zum Einzelplan 10 des Bundeshaushalts darzustellen.</w:t>
      </w:r>
    </w:p>
    <w:p>
      <w:r>
        <w:rPr>
          <w:color w:val="555555"/>
          <w:sz w:val="17"/>
        </w:rPr>
        <w:t xml:space="preserve">Zitiervorschlag: § 3 ZweckVG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https://recht.nulegal.eu/gesetze/ZweckVG/3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