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ZweckVG — Zweckvermögen</w:t>
      </w:r>
    </w:p>
    <w:p>
      <w:r>
        <w:rPr>
          <w:color w:val="555555"/>
          <w:sz w:val="18"/>
        </w:rPr>
        <w:t xml:space="preserve">Gesetz über das Zweckvermögen des Bundes bei der Landwirtschaftlichen Rentenbank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Mittel, die nach einmaligem Abzug eines dem Bundeshaushalt 2005 zuzuführenden Betrages von 45 Millionen Euro aus dem Zweckvermögen, das nach § 10 Abs. 3 des Entschuldungsabwicklungsgesetzes in der im Bundesgesetzblatt Teil III, Gliederungsnummer 7812-2, veröffentlichten bereinigten Fassung, aufgehoben durch Artikel 8 Nr. 1 des Gesetzes vom 26. Oktober 2001 (BGBl. I S. 2710), gebildet worden ist, verbleiben, und die Mittel, die nach § 9 Abs. 3 des Gesetzes über die Landwirtschaftliche Rentenbank in der Fassung der Bekanntmachung vom 4. September 2002 (BGBl. I S. 3646), zuletzt geändert durch Artikel 8 des Gesetzes vom 22. Mai 2005 (BGBl. I S. 1373), diesem Zweckvermögen zuzuführen sind, bilden ein Zweckvermögen des Bundes. Die Landwirtschaftliche Rentenbank verwaltet dieses Zweckvermögen treuhänderisch für den Bund.</w:t>
      </w:r>
    </w:p>
    <w:p>
      <w:r>
        <w:t xml:space="preserve">(2) Das Zweckvermögen kann nur durch Gesetz aufgelöst werden.</w:t>
      </w:r>
    </w:p>
    <w:p>
      <w:r>
        <w:rPr>
          <w:color w:val="555555"/>
          <w:sz w:val="17"/>
        </w:rPr>
        <w:t xml:space="preserve">Zitiervorschlag: § 1 ZweckVG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https://recht.nulegal.eu/gesetze/ZweckVG/1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