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ZwVwV — Ausgaben der Zwangsverwaltung</w:t>
      </w:r>
    </w:p>
    <w:p>
      <w:r>
        <w:rPr>
          <w:color w:val="555555"/>
          <w:sz w:val="18"/>
        </w:rPr>
        <w:t xml:space="preserve">Zwangsverwalterverordnung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Verwalter hat von den Einnahmen die Liquidität zurückzubehalten, die für Ausgaben der Verwaltung einschließlich der Verwaltervergütung und der Kosten des Verfahrens vorgehalten werden muss.</w:t>
      </w:r>
    </w:p>
    <w:p>
      <w:r>
        <w:t xml:space="preserve">(2) Der Verwalter soll nur Verpflichtungen eingehen, die aus bereits vorhandenen Mitteln erfüllt werden können.</w:t>
      </w:r>
    </w:p>
    <w:p>
      <w:r>
        <w:t xml:space="preserve">(3) Der Verwalter ist verpflichtet, das Zwangsverwaltungsobjekt insbesondere gegen Feuer-, Sturm-, Leitungswasserschäden und Haftpflichtgefahren, die vom Grundstück und Gebäude ausgehen, zu versichern, soweit dies durch eine ordnungsgemäße Verwaltung geboten erscheint. Er hat diese Versicherung unverzüglich abzuschließen, sofern</w:t>
      </w:r>
    </w:p>
    <w:p>
      <w:pPr>
        <w:ind w:left="420"/>
      </w:pPr>
      <w:r>
        <w:t xml:space="preserve">1. Schuldner oder Gläubiger einen bestehenden Versicherungsschutz nicht innerhalb von 14 Tagen nach Zugang des Anordnungsbeschlusses schriftlich nachweisen und</w:t>
      </w:r>
    </w:p>
    <w:p>
      <w:pPr>
        <w:ind w:left="420"/>
      </w:pPr>
      <w:r>
        <w:t xml:space="preserve">2. der Gläubiger die unbedingte Kostendeckung schriftlich mitteilt.</w:t>
      </w:r>
    </w:p>
    <w:p>
      <w:r>
        <w:rPr>
          <w:color w:val="555555"/>
          <w:sz w:val="17"/>
        </w:rPr>
        <w:t xml:space="preserve">Zitiervorschlag: § 9 ZwVwV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https://recht.nulegal.eu/gesetze/ZwVwV/9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