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ZwVwV — Rechtsverfolgung</w:t>
      </w:r>
    </w:p>
    <w:p>
      <w:r>
        <w:rPr>
          <w:color w:val="555555"/>
          <w:sz w:val="18"/>
        </w:rPr>
        <w:t xml:space="preserve">Zwangsverwalterverordnung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Verwalter hat die Rechtsverfolgung seiner Ansprüche im Rahmen des pflichtgemäßen Ermessens zeitnah einzuleiten.</w:t>
      </w:r>
    </w:p>
    <w:p>
      <w:r>
        <w:rPr>
          <w:color w:val="555555"/>
          <w:sz w:val="17"/>
        </w:rPr>
        <w:t xml:space="preserve">Zitiervorschlag: § 7 ZwVwV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https://recht.nulegal.eu/gesetze/ZwVwV/7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