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ZwVwV — Nutzungen des Zwangsverwaltungsobjektes</w:t>
      </w:r>
    </w:p>
    <w:p>
      <w:r>
        <w:rPr>
          <w:color w:val="555555"/>
          <w:sz w:val="18"/>
        </w:rPr>
        <w:t xml:space="preserve">Zwangsverwalterverordnung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Verwalter soll die Art der Nutzung, die bis zur Anordnung der Zwangsverwaltung bestand, beibehalten.</w:t>
      </w:r>
    </w:p>
    <w:p>
      <w:r>
        <w:t xml:space="preserve">(2) Die Nutzung erfolgt grundsätzlich durch Vermietung oder Verpachtung. Hiervon ausgenommen sind:</w:t>
      </w:r>
    </w:p>
    <w:p>
      <w:pPr>
        <w:ind w:left="420"/>
      </w:pPr>
      <w:r>
        <w:t xml:space="preserve">1. landwirtschaftlich oder forstwirtschaftlich genutzte Objekte in Eigenverwaltung des Schuldners gemäß § 150b des Gesetzes über die Zwangsversteigerung und die Zwangsverwaltung;</w:t>
      </w:r>
    </w:p>
    <w:p>
      <w:pPr>
        <w:ind w:left="420"/>
      </w:pPr>
      <w:r>
        <w:t xml:space="preserve">2. die Wohnräume des Schuldners, die ihm gemäß § 149 des Gesetzes über die Zwangsversteigerung und die Zwangsverwaltung unentgeltlich zu belassen sind.</w:t>
      </w:r>
    </w:p>
    <w:p>
      <w:r>
        <w:t xml:space="preserve">(3) Der Verwalter ist berechtigt, begonnene Bauvorhaben fertig zu stellen.</w:t>
      </w:r>
    </w:p>
    <w:p>
      <w:r>
        <w:rPr>
          <w:color w:val="555555"/>
          <w:sz w:val="17"/>
        </w:rPr>
        <w:t xml:space="preserve">Zitiervorschlag: § 5 ZwVwV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https://recht.nulegal.eu/gesetze/ZwVwV/5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