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ZwVwV — Mitteilungspflicht</w:t>
      </w:r>
    </w:p>
    <w:p>
      <w:r>
        <w:rPr>
          <w:color w:val="555555"/>
          <w:sz w:val="18"/>
        </w:rPr>
        <w:t xml:space="preserve">Zwangsverwalterverordnung</w:t>
      </w:r>
    </w:p>
    <w:p>
      <w:r>
        <w:rPr>
          <w:color w:val="555555"/>
          <w:sz w:val="18"/>
        </w:rPr>
        <w:t xml:space="preserve">Stand: 10.06.2019 (konsolidierte Textfassung, kein amtliches Inkrafttretensdatum)</w:t>
      </w:r>
    </w:p>
    <w:p>
      <w:r>
        <w:t xml:space="preserve">Der Verwalter hat alle betroffenen Mieter und Pächter sowie alle von der Verwaltung betroffenen Dritten unverzüglich über die Zwangsverwaltung zu informieren. Außerdem kann der Verwalter den Erlass von Zahlungsverboten an die Drittschuldner bei dem Gericht beantragen.</w:t>
      </w:r>
    </w:p>
    <w:p>
      <w:r>
        <w:rPr>
          <w:color w:val="555555"/>
          <w:sz w:val="17"/>
        </w:rPr>
        <w:t xml:space="preserve">Zitiervorschlag: § 4 ZwVwV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https://recht.nulegal.eu/gesetze/ZwVwV/4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