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ZwVwV — Besitzerlangung über das Zwangsverwaltungsobjekt, Bericht</w:t>
      </w:r>
    </w:p>
    <w:p>
      <w:r>
        <w:rPr>
          <w:color w:val="555555"/>
          <w:sz w:val="18"/>
        </w:rPr>
        <w:t xml:space="preserve">Zwangsverwalterverordnung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Verwalter hat das Zwangsverwaltungsobjekt in Besitz zu nehmen und darüber einen Bericht zu fertigen. Im Bericht sind festzuhalten:</w:t>
      </w:r>
    </w:p>
    <w:p>
      <w:pPr>
        <w:ind w:left="420"/>
      </w:pPr>
      <w:r>
        <w:t xml:space="preserve">1. Zeitpunkt und Umstände der Besitzerlangung;</w:t>
      </w:r>
    </w:p>
    <w:p>
      <w:pPr>
        <w:ind w:left="420"/>
      </w:pPr>
      <w:r>
        <w:t xml:space="preserve">2. eine Objektbeschreibung einschließlich der Nutzungsart und der bekannten Drittrechte;</w:t>
      </w:r>
    </w:p>
    <w:p>
      <w:pPr>
        <w:ind w:left="420"/>
      </w:pPr>
      <w:r>
        <w:t xml:space="preserve">3. alle der Beschlagnahme unterfallenden Mobilien, insbesondere das Zubehör;</w:t>
      </w:r>
    </w:p>
    <w:p>
      <w:pPr>
        <w:ind w:left="420"/>
      </w:pPr>
      <w:r>
        <w:t xml:space="preserve">4. alle der Beschlagnahme unterfallenden Forderungen und Rechte, insbesondere Miet- und Pachtforderungen, mit dem Eigentum verbundene Rechte auf wiederkehrende Leistungen sowie Forderungen gegen Versicherungen unter Beachtung von Beitragsrückständen;</w:t>
      </w:r>
    </w:p>
    <w:p>
      <w:pPr>
        <w:ind w:left="420"/>
      </w:pPr>
      <w:r>
        <w:t xml:space="preserve">5. die öffentlichen Lasten des Grundstücks unter Angabe der laufenden Beträge;</w:t>
      </w:r>
    </w:p>
    <w:p>
      <w:pPr>
        <w:ind w:left="420"/>
      </w:pPr>
      <w:r>
        <w:t xml:space="preserve">6. die Räume, die dem Schuldner für seinen Hausstand belassen werden;</w:t>
      </w:r>
    </w:p>
    <w:p>
      <w:pPr>
        <w:ind w:left="420"/>
      </w:pPr>
      <w:r>
        <w:t xml:space="preserve">7. die voraussichtlichen Ausgaben der Verwaltung, insbesondere aus Dienst- oder Arbeitsverhältnissen;</w:t>
      </w:r>
    </w:p>
    <w:p>
      <w:pPr>
        <w:ind w:left="420"/>
      </w:pPr>
      <w:r>
        <w:t xml:space="preserve">8. die voraussichtlichen Einnahmen und die Höhe des für die Verwaltung erforderlichen Kostenvorschusses;</w:t>
      </w:r>
    </w:p>
    <w:p>
      <w:pPr>
        <w:ind w:left="420"/>
      </w:pPr>
      <w:r>
        <w:t xml:space="preserve">9. alle sonstigen für die Verwaltung wesentlichen Verhältnisse.</w:t>
      </w:r>
    </w:p>
    <w:p>
      <w:r>
        <w:t xml:space="preserve">(2) Den Bericht über die Besitzerlangung hat der Verwalter bei Gericht einzureichen. Soweit die in Absatz 1 bezeichneten Verhältnisse nicht schon bei Besitzübergang festgestellt werden können, hat der Verwalter dies unverzüglich nachzuholen und dem Gericht anzuzeigen.</w:t>
      </w:r>
    </w:p>
    <w:p>
      <w:r>
        <w:rPr>
          <w:color w:val="555555"/>
          <w:sz w:val="17"/>
        </w:rPr>
        <w:t xml:space="preserve">Zitiervorschlag: § 3 ZwVwV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https://recht.nulegal.eu/gesetze/ZwVwV/3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