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ZwVwV — Inkrafttreten, Außerkrafttreten</w:t>
      </w:r>
    </w:p>
    <w:p>
      <w:r>
        <w:rPr>
          <w:color w:val="555555"/>
          <w:sz w:val="18"/>
        </w:rPr>
        <w:t xml:space="preserve">Zwangsverwalterverordnung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2004 in Kraft.</w:t>
      </w:r>
    </w:p>
    <w:p>
      <w:r>
        <w:rPr>
          <w:color w:val="555555"/>
          <w:sz w:val="17"/>
        </w:rPr>
        <w:t xml:space="preserve">Zitiervorschlag: § 26 ZwVwV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https://recht.nulegal.eu/gesetze/ZwVwV/26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