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ZwVwV — Grundstücksgleiche Rechte</w:t>
      </w:r>
    </w:p>
    <w:p>
      <w:r>
        <w:rPr>
          <w:color w:val="555555"/>
          <w:sz w:val="18"/>
        </w:rPr>
        <w:t xml:space="preserve">Zwangsverwalterverordnung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vorstehenden Bestimmungen sind auf die Zwangsverwaltung von Berechtigungen, für welche die Vorschriften über die Zwangsverwaltung von Grundstücken gelten, entsprechend anzuwenden.</w:t>
      </w:r>
    </w:p>
    <w:p>
      <w:r>
        <w:rPr>
          <w:color w:val="555555"/>
          <w:sz w:val="17"/>
        </w:rPr>
        <w:t xml:space="preserve">Zitiervorschlag: § 23 ZwVwV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https://recht.nulegal.eu/gesetze/ZwVwV/23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