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ZwVwV — Regelvergütung</w:t>
      </w:r>
    </w:p>
    <w:p>
      <w:r>
        <w:rPr>
          <w:color w:val="555555"/>
          <w:sz w:val="18"/>
        </w:rPr>
        <w:t xml:space="preserve">Zwangsverwalterverordnung</w:t>
      </w:r>
    </w:p>
    <w:p>
      <w:r>
        <w:rPr>
          <w:color w:val="555555"/>
          <w:sz w:val="18"/>
        </w:rPr>
        <w:t xml:space="preserve">Stand: 04.04.2024 (konsolidierte Textfassung, kein amtliches Inkrafttretensdatum)</w:t>
      </w:r>
    </w:p>
    <w:p>
      <w:r>
        <w:t xml:space="preserve">(1) Bei der Zwangsverwaltung von Grundstücken, die durch Vermieten oder Verpachten genutzt werden, erhält der Verwalter als Vergütung in der Regel 10 Prozent des für den Zeitraum der Verwaltung an Mieten oder Pachten eingezogenen Bruttobetrags. Für vertraglich geschuldete, nicht eingezogene Mieten oder Pachten erhält er 20 Prozent der Vergütung, die er erhalten hätte, wenn diese Mieten eingezogen worden wären. Soweit Mietrückstände eingezogen werden, für die der Verwalter bereits eine Vergütung nach Satz 2 erhalten hat, ist diese anzurechnen.</w:t>
      </w:r>
    </w:p>
    <w:p>
      <w:r>
        <w:t xml:space="preserve">(2) Ergibt sich im Einzelfall ein Missverhältnis zwischen der Tätigkeit des Verwalters und der Vergütung nach Absatz 1, so kann der in Absatz 1 Satz 1 genannte Prozentsatz bis auf 5 vermindert oder bis auf 20 angehoben werden.</w:t>
      </w:r>
    </w:p>
    <w:p>
      <w:r>
        <w:t xml:space="preserve">(3) Für die Fertigstellung von Bauvorhaben erhält der Verwalter 6 Prozent der von ihm verwalteten Bausumme. Planungs-, Ausführungs- und Abnahmekosten sind Bestandteil der Bausumme und finden keine Anrechnung auf die Vergütung des Verwalters.</w:t>
      </w:r>
    </w:p>
    <w:p>
      <w:r>
        <w:rPr>
          <w:color w:val="555555"/>
          <w:sz w:val="17"/>
        </w:rPr>
        <w:t xml:space="preserve">Zitiervorschlag: § 18 ZwVwV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https://recht.nulegal.eu/gesetze/ZwVwV/18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