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ZwVwV — Auszahlungen</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Aus den nach Bestreiten der Ausgaben der Verwaltung sowie der Kosten des Verfahrens (§ 155 Abs. 1 des Gesetzes über die Zwangsversteigerung und die Zwangsverwaltung) verbleibenden Überschüssen der Einnahmen darf der Verwalter ohne weiteres Verfahren nur Vorschüsse sowie die laufenden Beträge der öffentlichen Lasten nach der gesetzlichen Rangfolge berichtigen.</w:t>
      </w:r>
    </w:p>
    <w:p>
      <w:r>
        <w:t xml:space="preserve">(2) Sonstige Zahlungen an die Berechtigten darf der Verwalter nur aufgrund der von dem Gericht nach Feststellung des Teilungsplans getroffenen Anordnung leisten. Ist zu erwarten, dass solche Zahlungen geleistet werden können, so hat dies der Verwalter dem Gericht unter Angabe des voraussichtlichen Betrages der Überschüsse und der Zeit ihres Einganges anzuzeigen.</w:t>
      </w:r>
    </w:p>
    <w:p>
      <w:r>
        <w:t xml:space="preserve">(3) Sollen Auszahlungen auf das Kapital einer Hypothek oder Grundschuld oder auf die Ablösesumme einer Rentenschuld geleistet werden, so hat der Verwalter zu diesem Zweck die Anberaumung eines Termins bei dem Gericht zu beantragen.</w:t>
      </w:r>
    </w:p>
    <w:p>
      <w:r>
        <w:rPr>
          <w:color w:val="555555"/>
          <w:sz w:val="17"/>
        </w:rPr>
        <w:t xml:space="preserve">Zitiervorschlag: § 11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